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5" w:rsidRDefault="009B6175" w:rsidP="009B6175">
      <w:pPr>
        <w:rPr>
          <w:rFonts w:ascii="黑体" w:eastAsia="黑体" w:hint="eastAsia"/>
          <w:szCs w:val="32"/>
          <w:lang/>
        </w:rPr>
      </w:pPr>
      <w:r>
        <w:rPr>
          <w:rFonts w:ascii="黑体" w:eastAsia="黑体" w:cs="宋体" w:hint="eastAsia"/>
          <w:kern w:val="0"/>
          <w:szCs w:val="32"/>
        </w:rPr>
        <w:t>附件</w:t>
      </w:r>
    </w:p>
    <w:tbl>
      <w:tblPr>
        <w:tblW w:w="13875" w:type="dxa"/>
        <w:jc w:val="center"/>
        <w:tblLook w:val="0000"/>
      </w:tblPr>
      <w:tblGrid>
        <w:gridCol w:w="498"/>
        <w:gridCol w:w="1477"/>
        <w:gridCol w:w="1460"/>
        <w:gridCol w:w="7020"/>
        <w:gridCol w:w="3420"/>
      </w:tblGrid>
      <w:tr w:rsidR="009B6175" w:rsidTr="003E7C34">
        <w:trPr>
          <w:trHeight w:val="1035"/>
          <w:jc w:val="center"/>
        </w:trPr>
        <w:tc>
          <w:tcPr>
            <w:tcW w:w="13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华文中宋" w:eastAsia="华文中宋" w:cs="宋体" w:hint="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中宋" w:eastAsia="华文中宋" w:cs="宋体" w:hint="eastAsia"/>
                <w:b/>
                <w:bCs/>
                <w:kern w:val="0"/>
                <w:sz w:val="44"/>
                <w:szCs w:val="44"/>
              </w:rPr>
              <w:t>2014年第二批福建省省级挂牌督办环境问题及督办要求</w:t>
            </w:r>
          </w:p>
        </w:tc>
      </w:tr>
      <w:tr w:rsidR="009B6175" w:rsidTr="003E7C34">
        <w:trPr>
          <w:trHeight w:val="7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8"/>
                <w:szCs w:val="28"/>
              </w:rPr>
              <w:t>地  点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8"/>
                <w:szCs w:val="28"/>
              </w:rPr>
              <w:t>督办要求</w:t>
            </w:r>
          </w:p>
        </w:tc>
      </w:tr>
      <w:tr w:rsidR="009B6175" w:rsidTr="003E7C34">
        <w:trPr>
          <w:trHeight w:val="319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福建天宇钢铁制品有限公司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福清市融侨经济技术开发区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有大量强酸性废水通过制管车间西面雨水沟外排，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总铬浓度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为3.70mg/L、pH值为1.37，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总铬超过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《污水综合排放标准》1.47倍。</w:t>
            </w: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制管车间喷淋钝化槽废水混入冷却水后循环使用，部分通过车间废水收集槽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设有格栅的管口排入车间北面雨水沟，该收集槽外排水管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口总铬为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2.37mg/L、六价铬为2.00mg/L，分别超过《污水综合排放标准》0.58倍、3倍，车间北面雨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水沟总铬为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2.53mg/L、六价铬为2.25mg/L，分别超过《污水综合排放标准》0.69倍、3.5倍。</w:t>
            </w: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热镀锌车间喷淋钝化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槽启动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时有部分钝化水滴漏至地面后流向热镀锌车间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东北角厂界雨水沟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，执法人员取积水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监测总铬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为223mg/L，超过《污水综合排放标准》147.67倍。</w:t>
            </w: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现场检查时锅炉冒黑烟。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该案件符合“两高”司法解释规定，由省环保厅移送公安机关查办。要求福州市环保局责令企业停产整改。挂牌期限：2014年9月30日</w:t>
            </w:r>
          </w:p>
        </w:tc>
      </w:tr>
      <w:tr w:rsidR="009B6175" w:rsidTr="003E7C34">
        <w:trPr>
          <w:trHeight w:val="124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明达工业（福建）有限公司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福清市宏路街道宏路村委会上郑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制版（电镀）车间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出水口总铜浓度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为1.23mg/l，超标排放；</w:t>
            </w: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厂区雨水沟总排口COD和悬浮物浓度分别为230 mg/l和92 mg/l，超标排放。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要求福清市环保局依法立案查处，责令企业限期整改。挂牌期限：2014年9月30日</w:t>
            </w:r>
          </w:p>
        </w:tc>
      </w:tr>
      <w:tr w:rsidR="009B6175" w:rsidTr="003E7C34">
        <w:trPr>
          <w:trHeight w:val="145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长乐金牛金属制品公司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福州长乐市玉田镇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部分废水通过管道直排厂区东侧小溪，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总锌浓度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7.93mg/L、COD浓度395mg/L，超标排放。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环保管理不规范，现场无法提供竣工环保验收资料。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要求长乐市环保局依法立案查处，责令企业限期整改。挂牌期限：2014年9月30日</w:t>
            </w:r>
          </w:p>
        </w:tc>
      </w:tr>
      <w:tr w:rsidR="009B6175" w:rsidTr="003E7C34">
        <w:trPr>
          <w:trHeight w:val="12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阿石托隆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（福建）光学科技有限公司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福州长乐市航城街道琴江村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部分抛光废水、清洗废水未经处理直排,围墙边废水外排口COD浓度314mg/L，超标排放。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要求长乐市环保局依法立案查处，责令企业限期整改。挂牌期限：2014年9月30日</w:t>
            </w:r>
          </w:p>
        </w:tc>
      </w:tr>
      <w:tr w:rsidR="009B6175" w:rsidTr="003E7C34">
        <w:trPr>
          <w:trHeight w:val="117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福州闽威电路板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福州长乐市闽威工业区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含镍废水处理设施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出水口总铜浓度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为41.0mg/l，厂区雨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水沟总铜浓度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为1.41 mg/l，超标排放。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要求长乐市环保局依法立案查处，责令企业限期整改。挂牌期限：2014年9月30日</w:t>
            </w:r>
          </w:p>
        </w:tc>
      </w:tr>
      <w:tr w:rsidR="009B6175" w:rsidTr="003E7C34">
        <w:trPr>
          <w:trHeight w:val="133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福州市新易制模有限公司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福州闽侯县青口投资区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废水处理设施总排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口总铜浓度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为147 mg/l，超标排放。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要求闽侯县环保局依法立案查处，责令企业限期整改。挂牌期限：2014年9月30日</w:t>
            </w:r>
          </w:p>
        </w:tc>
      </w:tr>
      <w:tr w:rsidR="009B6175" w:rsidTr="003E7C34">
        <w:trPr>
          <w:trHeight w:val="162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福州东阳塑料制品有限公司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福州闽侯县青口投资区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厂区南边雨水沟外排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口总镍浓度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为5.88 mg/l，超标3倍以上；</w:t>
            </w: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电镀废水处理设施边地面积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水总镍浓度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为1.48 mg/l，超标排放。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该案件符合“两高”司法解释规定，由省环保厅移送公安机关查办。要求闽侯县环保局责令企业停产整改。挂牌期限：2014年9月30日</w:t>
            </w:r>
          </w:p>
        </w:tc>
      </w:tr>
      <w:tr w:rsidR="009B6175" w:rsidTr="003E7C34">
        <w:trPr>
          <w:trHeight w:val="21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福州瑞华印刷线路板有限公司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福州闽侯县荆溪镇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光明下宅37号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总排口旁应急池内存有大量生产废水和污泥压滤废水，应急池留有溢流口，废水可直接溢流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到设施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处理后的外排水收集池，通过水泵抽往荆溪排放，经采样监测，外排水收集池PH5.15、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总铜浓度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110mg/L、COD浓度140mg/L，排往荆溪的废水排放口PH5.76、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总铜浓度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146mg/L、COD浓度152mg/L，超标排放。</w:t>
            </w: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单面板车间酸雾收集不到位，车间酸雾较重。3.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污泥危废储存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场所不规范。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要求闽侯县环保局依法立案查处，责令企业限期整改。挂牌期限：2014年9月30日</w:t>
            </w:r>
          </w:p>
        </w:tc>
      </w:tr>
      <w:tr w:rsidR="009B6175" w:rsidTr="003E7C34">
        <w:trPr>
          <w:trHeight w:val="17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福州闽侯县荆溪镇古山洲村林红月电镀厂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福州闽侯县荆溪镇古山洲村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电镀废水未经处理从生产车间地面收集沟汇集后，通过设置的PVC管道直排外环境，经采样监测，电镀废水排放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口总铬浓度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为12.9mg/L，超过《电镀污染物排放标准》（GB21900-2008）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中总铬排放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标准（1.0mg/L）11.9倍；六价铬浓度为7.92mg/L，超过排放标准（0.2mg/L）38.6倍。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该案件符合“两高”司法解释规定，由省环保厅移送公安机关查办。要求闽侯县环保局责令企业停产整改。挂牌期限：2014年9月30日</w:t>
            </w:r>
          </w:p>
        </w:tc>
      </w:tr>
      <w:tr w:rsidR="009B6175" w:rsidTr="003E7C34">
        <w:trPr>
          <w:trHeight w:val="1859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福州闽侯县荆溪镇胶合板企业黑烟连片污染问题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福州闽侯县荆溪镇港头村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该片区内有20多家胶合板加工生产企业，其中有11家未办理环评审批手续，3家未办理环保竣工验收手续。大部分企业以锯糠、刨花等木材为燃料，存在污染治理设施配套建设不完善，设施运行不正常，锅炉工操作不规范，冒黑烟问题突出。闽侯县联谊木业有限公司锅炉设施停用，烟囱持续冒滚滚黑烟；闽侯县东德木业有限公司排放阵发性浓烈黑烟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要求闽侯县环保局依法立案查处，责令荆溪镇片区内胶合板企业进行全面整改，消除冒黑烟问题。挂牌期限：2014年9月30日</w:t>
            </w:r>
          </w:p>
        </w:tc>
      </w:tr>
      <w:tr w:rsidR="009B6175" w:rsidTr="003E7C34">
        <w:trPr>
          <w:trHeight w:val="1343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福州闽侯县南屿镇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六十份村叶华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国电镀厂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福州闽侯县南屿镇六十份村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无证无照，未办理环保手续，未建废水处理设施，生产废水未经处理直排，经采水监测：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总铬浓度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为5.87mg/l、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总铜浓度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为406 mg/l、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总镍浓度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为292 mg/l、总氰化物为27.3 mg/l，严重超标排放。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该案件符合“两高”司法解释规定，由省环保厅移送公安机关查办。要求闽侯县环保局责令企业停产整改。挂牌期限：2014年9月30日</w:t>
            </w:r>
          </w:p>
        </w:tc>
      </w:tr>
      <w:tr w:rsidR="009B6175" w:rsidTr="003E7C34">
        <w:trPr>
          <w:trHeight w:val="51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福建光华天成饲料科技有限公司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现场检查时该公司正在生产，1t/h的燃煤锅炉（燃料用白煤）提供生产用蒸汽，风机故障，在添加燃料时冒黑烟。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要求福州市环保局依法立案查处，并责令企业整改。挂牌期限：2014年9月30日</w:t>
            </w:r>
          </w:p>
        </w:tc>
      </w:tr>
      <w:tr w:rsidR="009B6175" w:rsidTr="003E7C34">
        <w:trPr>
          <w:trHeight w:val="678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闽侯县峰峰豆制品有限公司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现场检查时该公司正在生产，共有4台（3台4t/h、1台2t/h）燃煤锅炉提供生产用蒸汽，其中1台4t/h的燃煤锅炉已报废，其余3台正用木雕厂边角料和木屑添加燃料，长时间冒黑烟。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要求福州市环保局依法立案查处，并责令企业整改。挂牌期限：2014年9月30日</w:t>
            </w:r>
          </w:p>
        </w:tc>
      </w:tr>
      <w:tr w:rsidR="009B6175" w:rsidTr="003E7C34">
        <w:trPr>
          <w:trHeight w:val="1062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福州市闽侯县青口俊杰米面加工厂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福州闽侯县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现场检查时该公司正在生产。企业未办理环评审批手续，主要进行粉干和果条生产，日产量约为2t。企业使用1台以木材为燃料的锅炉，废气经水封除尘后排放，现场发现锅炉冒黑烟。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要求福州市环保局依法立案查处，并责令企业整改。挂牌期限：2014年9月30日</w:t>
            </w:r>
          </w:p>
        </w:tc>
      </w:tr>
      <w:tr w:rsidR="009B6175" w:rsidTr="003E7C34">
        <w:trPr>
          <w:trHeight w:val="112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闽侯县鸿福日用品有限公司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福州市高新技术产业开发区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1.该企业2006年生产至今，未办理环评审批手续，擅自投入生产。企业另将一个车间出租给其他公司建设的被服洗涤生产线，也未办理环评审批手续。</w:t>
            </w:r>
          </w:p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2.环保治理设施运行不正常，黑烟污染严重。企业燃煤锅炉简易水浴除尘设施破裂损坏，锅炉废气未经处理直接排放。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要求福州市环保局依法立案查处，并责令企业整改。挂牌期限：2014年9月30日</w:t>
            </w:r>
          </w:p>
        </w:tc>
      </w:tr>
      <w:tr w:rsidR="009B6175" w:rsidTr="003E7C34">
        <w:trPr>
          <w:trHeight w:val="96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福建送变电工程有限公司杆塔分公司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福州晋安区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配件吊出钝化槽后滴漏的废水未收集，通过车间地面漫流，滴漏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水总铬为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23.1mg/L、六价铬为21.6mg/L，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总镍为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13.6mg/L，分别超过《污水综合排放标准》14.4倍、42.2倍、12.6倍。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要求福州市环保局依法立案查处，责令企业限期整改。挂牌期限：2014年9月30日</w:t>
            </w:r>
          </w:p>
        </w:tc>
      </w:tr>
      <w:tr w:rsidR="009B6175" w:rsidTr="003E7C34">
        <w:trPr>
          <w:trHeight w:val="105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晋安中顺机械热处理厂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福州晋安区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发黑工艺废水直接排入简易搭盖的车间内的水沟后外排，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总铬为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2.11mg/L超过《污水综合排放标准》0.4倍。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要求福州市环保局依法立案查处，责令企业限期整改。挂牌期限：2014年9月30日</w:t>
            </w:r>
          </w:p>
        </w:tc>
      </w:tr>
      <w:tr w:rsidR="009B6175" w:rsidTr="003E7C34">
        <w:trPr>
          <w:trHeight w:val="1379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福建闽清玛钢配件厂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福州闽清县梅城镇王大河工业区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实际建成投产的镀槽等设备超过环评审批规模。</w:t>
            </w: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企业电镀废水未分流分治，电镀废水收集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池总铬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浓度15.8mg/L。</w:t>
            </w: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电镀废水收集沟废水溢流至厂区地面，进入厂界外雨水沟，经采样监测，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lastRenderedPageBreak/>
              <w:t>厂区地面积水PH3.06、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总铬浓度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13.1mg/L、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总锌浓度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202mg/L。</w:t>
            </w:r>
            <w:r>
              <w:rPr>
                <w:rFonts w:ascii="仿宋_GB2312" w:cs="宋体" w:hint="eastAsia"/>
                <w:b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车间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内铬酸雾未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收集处理。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lastRenderedPageBreak/>
              <w:t>该案件符合“两高”司法解释规定，由省环保厅移送公安机关查办。要求闽清县环保局责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lastRenderedPageBreak/>
              <w:t>令企业停产整改。挂牌期限：2014年9月30日</w:t>
            </w:r>
          </w:p>
        </w:tc>
      </w:tr>
      <w:tr w:rsidR="009B6175" w:rsidTr="003E7C34">
        <w:trPr>
          <w:trHeight w:val="102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马尾区清源机械厂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福州马尾区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私设发黑车间，未配套任何废水处理设施，发黑废水直排外环境。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要求福州市环保局依法立案查处，责令企业停产整改。挂牌期限：2014年9月30日</w:t>
            </w:r>
          </w:p>
        </w:tc>
      </w:tr>
      <w:tr w:rsidR="009B6175" w:rsidTr="003E7C34">
        <w:trPr>
          <w:trHeight w:val="154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福州市仓山区下洋村无名电镀厂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福州仓山区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生产产生的电镀废水未经处理直排外环境。电镀车间墙外收集池外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排水总铬浓度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为21mg/L，超过《电镀污染物排放标准》（GB21900-2008）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中总铬排放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标准（1.0mg/L）20倍；六价铬浓度为3.02mg/L，超过排放标准（0.2mg/L）14倍。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该案件符合“两高”司法解释规定，由省环保厅移送公安机关查办。要求福州市环保局责令企业停产整改。挂牌期限：2014年9月30日</w:t>
            </w:r>
          </w:p>
        </w:tc>
      </w:tr>
      <w:tr w:rsidR="009B6175" w:rsidTr="003E7C34">
        <w:trPr>
          <w:trHeight w:val="94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福州市仓山区山峰塑料泡沫厂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福州仓山区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现场检查时该公司正在生产。企业设有1台1t/h锅炉，采用木材边角料为燃料，配套建设1套简易水浴除尘设施，除尘效果差，现场冒黑烟现象严重。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要求福州市环保局依法立案查处，并责令企业整改。挂牌期限：2014年9月30日</w:t>
            </w:r>
          </w:p>
        </w:tc>
      </w:tr>
      <w:tr w:rsidR="009B6175" w:rsidTr="003E7C34">
        <w:trPr>
          <w:trHeight w:val="414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江智宇塑料米加工点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仓山区盖山镇新安村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过滤网燃烧室废气无污染防治设施，冒黑烟。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要求福州市环保局依法立案查处，并责令企业整改。挂牌期限：2014年9月30日</w:t>
            </w:r>
          </w:p>
        </w:tc>
      </w:tr>
      <w:tr w:rsidR="009B6175" w:rsidTr="003E7C34">
        <w:trPr>
          <w:trHeight w:val="2607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福建省尤溪金鑫金矿有限公司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三明尤溪县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75" w:rsidRDefault="009B6175" w:rsidP="009B6175">
            <w:pPr>
              <w:widowControl/>
              <w:numPr>
                <w:ilvl w:val="0"/>
                <w:numId w:val="1"/>
              </w:numPr>
              <w:ind w:left="-7" w:firstLine="7"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部分选矿废水和金泥脱水工序废水未按环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评要求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引入尾矿库，而是直接通过雨水沟排入肖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坂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溪，经采样监测：悬浮物浓度16800mg/L，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总铜浓度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1.91mg/L，超标排放。2.厂区雨污不分，原矿、精矿、矿渣无“三防”措施。3.选矿及废水收集设施大量采用活动软管。4.尾矿库未完全落实环评要求，大部分废水外排进入肖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坂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溪，悬浮物浓度114mg/L，超标排放。尾矿坝子坝未及时加高加固，防洪边沟未设置环境应急池。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5" w:rsidRDefault="009B6175" w:rsidP="003E7C34">
            <w:pPr>
              <w:widowControl/>
              <w:jc w:val="left"/>
              <w:rPr>
                <w:rFonts w:ascii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要求三明市环保局依法立案查处，责令企业限期整改。挂牌期限：2014年9月30日</w:t>
            </w:r>
          </w:p>
        </w:tc>
      </w:tr>
    </w:tbl>
    <w:p w:rsidR="009B6175" w:rsidRDefault="009B6175" w:rsidP="009B6175">
      <w:pPr>
        <w:rPr>
          <w:rFonts w:ascii="宋体" w:hAnsi="宋体"/>
        </w:rPr>
      </w:pPr>
    </w:p>
    <w:p w:rsidR="009B6175" w:rsidRDefault="009B6175" w:rsidP="009B6175">
      <w:pPr>
        <w:rPr>
          <w:rFonts w:ascii="仿宋_GB2312" w:hint="eastAsia"/>
          <w:sz w:val="28"/>
          <w:szCs w:val="28"/>
        </w:rPr>
      </w:pPr>
    </w:p>
    <w:p w:rsidR="00347101" w:rsidRDefault="00347101"/>
    <w:sectPr w:rsidR="00347101" w:rsidSect="009B617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1FB9D0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175"/>
    <w:rsid w:val="00347101"/>
    <w:rsid w:val="004A1A93"/>
    <w:rsid w:val="0064111A"/>
    <w:rsid w:val="009B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7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618</Words>
  <Characters>3526</Characters>
  <Application>Microsoft Office Word</Application>
  <DocSecurity>0</DocSecurity>
  <Lines>29</Lines>
  <Paragraphs>8</Paragraphs>
  <ScaleCrop>false</ScaleCrop>
  <Company>admin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2014-06-04T02:11:00Z</dcterms:created>
  <dcterms:modified xsi:type="dcterms:W3CDTF">2014-06-04T02:12:00Z</dcterms:modified>
</cp:coreProperties>
</file>